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30CA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bookmarkStart w:id="0" w:name="_GoBack"/>
      <w:bookmarkEnd w:id="0"/>
      <w:r>
        <w:rPr>
          <w:rFonts w:hint="eastAsia" w:ascii="方正小标宋简体" w:hAnsi="方正小标宋简体" w:eastAsia="方正小标宋简体" w:cs="方正小标宋简体"/>
          <w:sz w:val="36"/>
          <w:szCs w:val="36"/>
        </w:rPr>
        <w:t>湖北省粮食安全保障条例</w:t>
      </w:r>
    </w:p>
    <w:p w14:paraId="25CC751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sz w:val="32"/>
          <w:szCs w:val="32"/>
        </w:rPr>
      </w:pPr>
      <w:r>
        <w:rPr>
          <w:rFonts w:hint="eastAsia" w:ascii="楷体" w:hAnsi="楷体" w:eastAsia="楷体" w:cs="楷体"/>
          <w:sz w:val="32"/>
          <w:szCs w:val="32"/>
        </w:rPr>
        <w:t>（草案）</w:t>
      </w:r>
    </w:p>
    <w:p w14:paraId="2654E43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p w14:paraId="079F8FF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14:paraId="62875B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2F2C92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第一章</w:t>
      </w:r>
      <w:r>
        <w:rPr>
          <w:rFonts w:hint="eastAsia" w:ascii="楷体" w:hAnsi="楷体" w:eastAsia="楷体" w:cs="楷体"/>
          <w:sz w:val="32"/>
          <w:szCs w:val="32"/>
          <w:lang w:val="en-US" w:eastAsia="zh-CN"/>
        </w:rPr>
        <w:t xml:space="preserve">  </w:t>
      </w:r>
      <w:r>
        <w:rPr>
          <w:rFonts w:hint="eastAsia" w:ascii="楷体" w:hAnsi="楷体" w:eastAsia="楷体" w:cs="楷体"/>
          <w:sz w:val="32"/>
          <w:szCs w:val="32"/>
        </w:rPr>
        <w:t>总</w:t>
      </w:r>
      <w:r>
        <w:rPr>
          <w:rFonts w:hint="eastAsia" w:ascii="楷体" w:hAnsi="楷体" w:eastAsia="楷体" w:cs="楷体"/>
          <w:sz w:val="32"/>
          <w:szCs w:val="32"/>
          <w:lang w:val="en-US" w:eastAsia="zh-CN"/>
        </w:rPr>
        <w:t xml:space="preserve">    </w:t>
      </w:r>
      <w:r>
        <w:rPr>
          <w:rFonts w:hint="eastAsia" w:ascii="楷体" w:hAnsi="楷体" w:eastAsia="楷体" w:cs="楷体"/>
          <w:sz w:val="32"/>
          <w:szCs w:val="32"/>
        </w:rPr>
        <w:t>则</w:t>
      </w:r>
    </w:p>
    <w:p w14:paraId="609AA7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第二章</w:t>
      </w:r>
      <w:r>
        <w:rPr>
          <w:rFonts w:hint="eastAsia" w:ascii="楷体" w:hAnsi="楷体" w:eastAsia="楷体" w:cs="楷体"/>
          <w:sz w:val="32"/>
          <w:szCs w:val="32"/>
          <w:lang w:val="en-US" w:eastAsia="zh-CN"/>
        </w:rPr>
        <w:t xml:space="preserve">  </w:t>
      </w:r>
      <w:r>
        <w:rPr>
          <w:rFonts w:hint="eastAsia" w:ascii="楷体" w:hAnsi="楷体" w:eastAsia="楷体" w:cs="楷体"/>
          <w:sz w:val="32"/>
          <w:szCs w:val="32"/>
        </w:rPr>
        <w:t>耕地保护</w:t>
      </w:r>
    </w:p>
    <w:p w14:paraId="6972ED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第三章</w:t>
      </w:r>
      <w:r>
        <w:rPr>
          <w:rFonts w:hint="eastAsia" w:ascii="楷体" w:hAnsi="楷体" w:eastAsia="楷体" w:cs="楷体"/>
          <w:sz w:val="32"/>
          <w:szCs w:val="32"/>
          <w:lang w:val="en-US" w:eastAsia="zh-CN"/>
        </w:rPr>
        <w:t xml:space="preserve">  </w:t>
      </w:r>
      <w:r>
        <w:rPr>
          <w:rFonts w:hint="eastAsia" w:ascii="楷体" w:hAnsi="楷体" w:eastAsia="楷体" w:cs="楷体"/>
          <w:sz w:val="32"/>
          <w:szCs w:val="32"/>
        </w:rPr>
        <w:t>粮食生产</w:t>
      </w:r>
    </w:p>
    <w:p w14:paraId="16141A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第四章</w:t>
      </w:r>
      <w:r>
        <w:rPr>
          <w:rFonts w:hint="eastAsia" w:ascii="楷体" w:hAnsi="楷体" w:eastAsia="楷体" w:cs="楷体"/>
          <w:sz w:val="32"/>
          <w:szCs w:val="32"/>
          <w:lang w:val="en-US" w:eastAsia="zh-CN"/>
        </w:rPr>
        <w:t xml:space="preserve">  </w:t>
      </w:r>
      <w:r>
        <w:rPr>
          <w:rFonts w:hint="eastAsia" w:ascii="楷体" w:hAnsi="楷体" w:eastAsia="楷体" w:cs="楷体"/>
          <w:sz w:val="32"/>
          <w:szCs w:val="32"/>
        </w:rPr>
        <w:t>粮食储备</w:t>
      </w:r>
    </w:p>
    <w:p w14:paraId="599F29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第五章</w:t>
      </w:r>
      <w:r>
        <w:rPr>
          <w:rFonts w:hint="eastAsia" w:ascii="楷体" w:hAnsi="楷体" w:eastAsia="楷体" w:cs="楷体"/>
          <w:sz w:val="32"/>
          <w:szCs w:val="32"/>
          <w:lang w:val="en-US" w:eastAsia="zh-CN"/>
        </w:rPr>
        <w:t xml:space="preserve">  </w:t>
      </w:r>
      <w:r>
        <w:rPr>
          <w:rFonts w:hint="eastAsia" w:ascii="楷体" w:hAnsi="楷体" w:eastAsia="楷体" w:cs="楷体"/>
          <w:sz w:val="32"/>
          <w:szCs w:val="32"/>
        </w:rPr>
        <w:t>粮食流通</w:t>
      </w:r>
    </w:p>
    <w:p w14:paraId="739C34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第六章</w:t>
      </w:r>
      <w:r>
        <w:rPr>
          <w:rFonts w:hint="eastAsia" w:ascii="楷体" w:hAnsi="楷体" w:eastAsia="楷体" w:cs="楷体"/>
          <w:sz w:val="32"/>
          <w:szCs w:val="32"/>
          <w:lang w:val="en-US" w:eastAsia="zh-CN"/>
        </w:rPr>
        <w:t xml:space="preserve">  </w:t>
      </w:r>
      <w:r>
        <w:rPr>
          <w:rFonts w:hint="eastAsia" w:ascii="楷体" w:hAnsi="楷体" w:eastAsia="楷体" w:cs="楷体"/>
          <w:sz w:val="32"/>
          <w:szCs w:val="32"/>
        </w:rPr>
        <w:t>粮食产业</w:t>
      </w:r>
    </w:p>
    <w:p w14:paraId="2220E0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第七章</w:t>
      </w:r>
      <w:r>
        <w:rPr>
          <w:rFonts w:hint="eastAsia" w:ascii="楷体" w:hAnsi="楷体" w:eastAsia="楷体" w:cs="楷体"/>
          <w:sz w:val="32"/>
          <w:szCs w:val="32"/>
          <w:lang w:val="en-US" w:eastAsia="zh-CN"/>
        </w:rPr>
        <w:t xml:space="preserve">  </w:t>
      </w:r>
      <w:r>
        <w:rPr>
          <w:rFonts w:hint="eastAsia" w:ascii="楷体" w:hAnsi="楷体" w:eastAsia="楷体" w:cs="楷体"/>
          <w:sz w:val="32"/>
          <w:szCs w:val="32"/>
        </w:rPr>
        <w:t>粮食应急</w:t>
      </w:r>
    </w:p>
    <w:p w14:paraId="06946B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第八章</w:t>
      </w:r>
      <w:r>
        <w:rPr>
          <w:rFonts w:hint="eastAsia" w:ascii="楷体" w:hAnsi="楷体" w:eastAsia="楷体" w:cs="楷体"/>
          <w:sz w:val="32"/>
          <w:szCs w:val="32"/>
          <w:lang w:val="en-US" w:eastAsia="zh-CN"/>
        </w:rPr>
        <w:t xml:space="preserve">  </w:t>
      </w:r>
      <w:r>
        <w:rPr>
          <w:rFonts w:hint="eastAsia" w:ascii="楷体" w:hAnsi="楷体" w:eastAsia="楷体" w:cs="楷体"/>
          <w:sz w:val="32"/>
          <w:szCs w:val="32"/>
        </w:rPr>
        <w:t>监督管理</w:t>
      </w:r>
    </w:p>
    <w:p w14:paraId="13EDCF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第九章</w:t>
      </w:r>
      <w:r>
        <w:rPr>
          <w:rFonts w:hint="eastAsia" w:ascii="楷体" w:hAnsi="楷体" w:eastAsia="楷体" w:cs="楷体"/>
          <w:sz w:val="32"/>
          <w:szCs w:val="32"/>
          <w:lang w:val="en-US" w:eastAsia="zh-CN"/>
        </w:rPr>
        <w:t xml:space="preserve">  </w:t>
      </w:r>
      <w:r>
        <w:rPr>
          <w:rFonts w:hint="eastAsia" w:ascii="楷体" w:hAnsi="楷体" w:eastAsia="楷体" w:cs="楷体"/>
          <w:sz w:val="32"/>
          <w:szCs w:val="32"/>
        </w:rPr>
        <w:t>法律责任</w:t>
      </w:r>
    </w:p>
    <w:p w14:paraId="3DCCAA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第十章</w:t>
      </w:r>
      <w:r>
        <w:rPr>
          <w:rFonts w:hint="eastAsia" w:ascii="楷体" w:hAnsi="楷体" w:eastAsia="楷体" w:cs="楷体"/>
          <w:sz w:val="32"/>
          <w:szCs w:val="32"/>
          <w:lang w:val="en-US" w:eastAsia="zh-CN"/>
        </w:rPr>
        <w:t xml:space="preserve">  </w:t>
      </w:r>
      <w:r>
        <w:rPr>
          <w:rFonts w:hint="eastAsia" w:ascii="楷体" w:hAnsi="楷体" w:eastAsia="楷体" w:cs="楷体"/>
          <w:sz w:val="32"/>
          <w:szCs w:val="32"/>
        </w:rPr>
        <w:t>附</w:t>
      </w:r>
      <w:r>
        <w:rPr>
          <w:rFonts w:hint="eastAsia" w:ascii="楷体" w:hAnsi="楷体" w:eastAsia="楷体" w:cs="楷体"/>
          <w:sz w:val="32"/>
          <w:szCs w:val="32"/>
          <w:lang w:val="en-US" w:eastAsia="zh-CN"/>
        </w:rPr>
        <w:t xml:space="preserve">    </w:t>
      </w:r>
      <w:r>
        <w:rPr>
          <w:rFonts w:hint="eastAsia" w:ascii="楷体" w:hAnsi="楷体" w:eastAsia="楷体" w:cs="楷体"/>
          <w:sz w:val="32"/>
          <w:szCs w:val="32"/>
        </w:rPr>
        <w:t>则</w:t>
      </w:r>
    </w:p>
    <w:p w14:paraId="0E675B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104A1CDC">
      <w:pPr>
        <w:keepNext w:val="0"/>
        <w:keepLines w:val="0"/>
        <w:pageBreakBefore w:val="0"/>
        <w:widowControl w:val="0"/>
        <w:numPr>
          <w:ilvl w:val="0"/>
          <w:numId w:val="1"/>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则</w:t>
      </w:r>
    </w:p>
    <w:p w14:paraId="764AC71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rPr>
      </w:pPr>
    </w:p>
    <w:p w14:paraId="077C06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了保障粮食有效供给，确保粮食安全，提高防范和抵御粮食安全风险能力，维护经济社会稳定和国家安全，根据《中华人民共和国粮食安全保障法》《粮食流通管理条例》等法律、行政法规，结合本省实际，制定本条例。</w:t>
      </w:r>
    </w:p>
    <w:p w14:paraId="76FE4C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本条例适用于本省行政区域内粮食生产、储备、流通、加工、应急、节约、监督管理等活动。</w:t>
      </w:r>
    </w:p>
    <w:p w14:paraId="161A60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粮食安全工作坚持中国共产党的领导，贯彻总体国家安全观，统筹发展和安全，实施国家粮食安全战略，坚持藏粮于地、藏粮于技，提高粮食生产、储备、流通、加工能力，发展粮食产业。</w:t>
      </w:r>
    </w:p>
    <w:p w14:paraId="6F3BD7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保障粮食安全应当树立大食物观，构建多元化食物供给体系，全方位、多途径开发食物资源，满足人民群众对食物品种丰富多样、品质营养健康的消费需求。</w:t>
      </w:r>
    </w:p>
    <w:p w14:paraId="3A45A8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落实粮食安全责任制，实行粮食安全党政同责。</w:t>
      </w:r>
    </w:p>
    <w:p w14:paraId="008767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县级以上人民政府应当承担保障本行政区域粮食安全的具体责任，将粮食安全保障工作纳入国民经济和社会发展规划，协调解决工作中的重大问题。</w:t>
      </w:r>
    </w:p>
    <w:p w14:paraId="56537D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乡镇人民政府、街道办事处应当按照职责做好本行政区域内粮食安全保障相关工作。</w:t>
      </w:r>
    </w:p>
    <w:p w14:paraId="63C817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县级以上人民政府发展改革主管部门负责统筹推进粮食安全责任制落实、粮食流通、仓储物流基础设施建设等工作。</w:t>
      </w:r>
    </w:p>
    <w:p w14:paraId="1FAF13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县级以上人民政府粮食主管部门负责粮食收购储存、储备监管、产业发展、应急调控等行政管理和行业指导工作。</w:t>
      </w:r>
    </w:p>
    <w:p w14:paraId="516CAC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县级以上人民政府自然资源主管部门负责耕地和永久基本农田数量管控及布局优化、耕地占补平衡管理等耕地保护工作。</w:t>
      </w:r>
    </w:p>
    <w:p w14:paraId="188D82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县级以上人民政府农业农村主管部门依法管理耕地质量，加强耕地种植用途管控日常监督，负责促进粮食生产发展、培育粮食生产主体、增强粮食综合生产能力等工作。</w:t>
      </w:r>
    </w:p>
    <w:p w14:paraId="0CAE49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县级以上人民政府财政、市场监督管理、商务、交通运输、经济和信息化、科技、生态环境、水行政、应急管理等部门按照各自职责，做好粮食安全保障相关工作。</w:t>
      </w:r>
    </w:p>
    <w:p w14:paraId="0B2CF4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落实国家粮食安全保障投入机制，采取财政、金融等支持政策加强粮食安全保障，完善粮食生产、收购、储存、运输、加工、销售协同保障机制；引导社会资本按照规定投入粮食生产、储备、流通、加工等领域，并保障其合法权益。</w:t>
      </w:r>
    </w:p>
    <w:p w14:paraId="11A29E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县级以上人民政府及有关部门应当加强粮食安全宣传教育，普及粮食有关知识，推动粮食文化传播，引导形成爱惜粮食、节约粮食的良好风尚。</w:t>
      </w:r>
    </w:p>
    <w:p w14:paraId="0D8B1A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机关、人民团体、社会组织、学校、企业事业单位等应当加强对本单位食堂的管理，定期开展节约粮食检查，纠正浪费行为。</w:t>
      </w:r>
    </w:p>
    <w:p w14:paraId="0D41871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F1120B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耕地保护</w:t>
      </w:r>
    </w:p>
    <w:p w14:paraId="28F59D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黑体" w:hAnsi="黑体" w:eastAsia="黑体" w:cs="黑体"/>
          <w:sz w:val="32"/>
          <w:szCs w:val="32"/>
        </w:rPr>
      </w:pPr>
    </w:p>
    <w:p w14:paraId="2985E2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组织编制国土空间总体规划，应当统筹布局农业、生态、城镇等功能空间，划定落实耕地和永久基本农田保护红线、生态保护红线和城镇开发边界，严格保护耕地，确保本行政区域内耕地和永久基本农田总量不减少、质量有提高。</w:t>
      </w:r>
    </w:p>
    <w:p w14:paraId="60CC7F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落实国家占用耕地补偿制度，严格控制各类占用耕地行为；确需占用耕地的，应当依法落实补充耕地责任，补充与所占用耕地数量相等、质量相当的耕地。</w:t>
      </w:r>
    </w:p>
    <w:p w14:paraId="1CBBB3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省人民政府应当组织自然资源、农业农村主管部门对补充耕地的数量进行认定、对补充耕地的质量进行验收，并加强耕地质量跟踪评价。</w:t>
      </w:r>
    </w:p>
    <w:p w14:paraId="7798DF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落实严格的耕地质量保护制度。</w:t>
      </w:r>
    </w:p>
    <w:p w14:paraId="2A0764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当分区分类高质量推进高标准农田建设，完善立项、建设、验收和管护机制，强化资金监管、质量监管，以田块平整、通水通路、提升地力、产量、效益为基本标准，统筹开展田、土、水、路、林、电、技、管综合治理，逐步将具备条件的永久基本农田建成高标准农田。</w:t>
      </w:r>
    </w:p>
    <w:p w14:paraId="68B001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鼓励、引导农村集体经济组织、新型农业经营主体、农户等参与高标准农田建设和运营管护。</w:t>
      </w:r>
    </w:p>
    <w:p w14:paraId="2C6076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第十一条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县级以上人民政府应当因地制宜、分类推进撂荒地治理，综合采取土地托管、代耕代种、改善耕作条件等措施引导复耕复种。</w:t>
      </w:r>
    </w:p>
    <w:p w14:paraId="3D9A4B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黑体" w:hAnsi="黑体" w:eastAsia="黑体" w:cs="黑体"/>
          <w:sz w:val="32"/>
          <w:szCs w:val="32"/>
          <w:lang w:val="en-US" w:eastAsia="zh-CN"/>
        </w:rPr>
      </w:pPr>
    </w:p>
    <w:p w14:paraId="02B6238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粮食生产</w:t>
      </w:r>
    </w:p>
    <w:p w14:paraId="76BE20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黑体" w:hAnsi="黑体" w:eastAsia="黑体" w:cs="黑体"/>
          <w:sz w:val="32"/>
          <w:szCs w:val="32"/>
          <w:lang w:val="en-US" w:eastAsia="zh-CN"/>
        </w:rPr>
      </w:pPr>
    </w:p>
    <w:p w14:paraId="31AD2B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及其有关部门应当加强粮食作物种质资源保护开发利用；推进粮食作物种子科学研究和生产基地、服务体系建设；扶持粮食作物良种培育、生产、更新和推广使用；指导、支持种子生产经营者采用先进的种子生产技术，改进生产工艺，提高种子质量。</w:t>
      </w:r>
    </w:p>
    <w:p w14:paraId="70A61A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省人民政府应当建立种子储备制度，主要用于发生灾害时的粮食生产需要及余缺调剂，对储备的种子应当定期检验和更新。</w:t>
      </w:r>
    </w:p>
    <w:p w14:paraId="091C07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鼓励种业生产经营者与高校、科研院所、企业等开展育种联合攻关，培育、推广适合本省种植条件的优良品种。</w:t>
      </w:r>
    </w:p>
    <w:p w14:paraId="29C4B2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统筹做好肥料、农药、农用薄膜等农业生产资料稳定供应工作，推行农业绿色生产方式，推进化肥、农药减量增效，引导粮食生产者科学施用化肥、农药，合理使用农用薄膜，增施有机肥料。</w:t>
      </w:r>
    </w:p>
    <w:p w14:paraId="07F951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县级以上人民政府应当组织做好农田水利建设和运行维护，加强灌溉水源建设，推进大中型灌区续建配套与现代化改造，建立健全农田水利工程管护长效机制，因地制宜发展高效节水农业，提高农业用水效率。</w:t>
      </w:r>
    </w:p>
    <w:p w14:paraId="233363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及其有关部门应当加强农业机械化作业基础条件建设，推广普及粮食生产机械化技术，健全农业机械社会化服务体系；完善农业技术推广体系，因地制宜推广先进适用的粮食生产技术，提高粮食生产效率。</w:t>
      </w:r>
    </w:p>
    <w:p w14:paraId="2BEC0A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建立健全农业自然灾害和生物灾害监测预警体系、防灾减灾救灾工作机制，加强干旱、洪涝、低温、高温、风雹、台风等灾害防御防控技术研究应用和安全生产管理，落实灾害防治属地责任，加强粮食作物病虫害防治和植物检疫工作。</w:t>
      </w:r>
    </w:p>
    <w:p w14:paraId="705F98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鼓励和支持开展粮食作物病虫害防治科技创新、成果转化和推广应用，普及应用信息技术、生物技术等，推进粮食作物病虫害防治智能化、专业化、绿色化。</w:t>
      </w:r>
    </w:p>
    <w:p w14:paraId="2F5AAB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县级以上人民政府应当落实粮食生产相关任务，优化生产布局，稳定粮食播种面积，提高粮食产量和品质，增强粮食生产供给保障能力。</w:t>
      </w:r>
    </w:p>
    <w:p w14:paraId="3EE963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省人民政府及其有关部门应当采取措施，增强江汉平原、鄂北岗地、鄂东沿江地区等地保障粮食安全和供应重要农产品的功能。</w:t>
      </w:r>
    </w:p>
    <w:p w14:paraId="05F892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县级以上人民政府及其有关部门应当采取措施，扶持和培育家庭农场、农民专业合作社等新型农业经营主体从事粮食生产，鼓励其与农户建立利益联结机制，提高粮食生产能力和现代化水平。</w:t>
      </w:r>
    </w:p>
    <w:p w14:paraId="230154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鼓励粮食经营者通过基地建设、订单种植、订单收购以及提供加工、储存、营销服务等方式，与家庭农场、农民专业合作社等开展合作。</w:t>
      </w:r>
    </w:p>
    <w:p w14:paraId="7D2839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支持面向粮食生产者的产前、产中、产后社会化服务，提高社会化服务水平，鼓励和引导粮食适度规模经营，支持粮食生产集约化。</w:t>
      </w:r>
    </w:p>
    <w:p w14:paraId="194779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第十八条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省人民政府根据实际情况，建立健全对产粮大县的利益补偿机制，提高粮食安全保障相关指标在产粮大县经济社会发展综合考核中的比重，调动粮食生产积极性。</w:t>
      </w:r>
    </w:p>
    <w:p w14:paraId="3C643C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县级以上人民政府应当完善粮食生产扶持政策，按照规定落实粮食生产者收益保障机制，保护粮食生产者的种粮积极性。</w:t>
      </w:r>
    </w:p>
    <w:p w14:paraId="3F73A2E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粮食储备</w:t>
      </w:r>
    </w:p>
    <w:p w14:paraId="54308D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黑体" w:hAnsi="黑体" w:eastAsia="黑体" w:cs="黑体"/>
          <w:sz w:val="32"/>
          <w:szCs w:val="32"/>
        </w:rPr>
      </w:pPr>
    </w:p>
    <w:p w14:paraId="123F1D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第十九条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省人民政府应当加强本省政府粮食储备体系建设，以省级储备为主，设区的市、县两级储备为辅，分级负责、分级储备、分级管理，确保政府粮食储备数量真实、质量良好、储存安全、管理规范。</w:t>
      </w:r>
    </w:p>
    <w:p w14:paraId="455B25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设区的市、县两级政府粮食储备数量不得低于省人民政府确定的规模。</w:t>
      </w:r>
    </w:p>
    <w:p w14:paraId="757484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地方财政分担的粮食储备费用补贴，应当纳入地方各级政府预算。</w:t>
      </w:r>
    </w:p>
    <w:p w14:paraId="6215EC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承储政府粮食储备的企业或者其他组织应当遵守法律、法规和国家有关规定，实行储备与商业性经营业务分开，建立健全内部管理制度，落实安全生产责任和消防安全责任，对承储粮食数量、质量负责，实施粮食安全风险事项报告制度，确保政府粮食储备安全。</w:t>
      </w:r>
    </w:p>
    <w:p w14:paraId="3BD130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承储省级政府粮食储备的企业应当按照公益类定位要求，剥离商业性经营业务。</w:t>
      </w:r>
    </w:p>
    <w:p w14:paraId="4018D9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鼓励创新储备粮轮换机制，探索改进储备粮管理模式，保证储备粮常储常新。</w:t>
      </w:r>
    </w:p>
    <w:p w14:paraId="4D7614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第二十一条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根据本行政区域实际情况，指导规模以上粮食加工企业建立企业社会责任储备，鼓励家庭农场、农民专业合作社、农业产业化龙头企业自主储粮，鼓励有条件的经营主体为农户提供粮食代储服务。</w:t>
      </w:r>
    </w:p>
    <w:p w14:paraId="5F641A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第二十二条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县级以上人民政府应当加强粮食储备基础设施建设，推广绿色储粮技术，提升粮食质量检验能力和烘干能力，保障储存安全和粮食品质。</w:t>
      </w:r>
    </w:p>
    <w:p w14:paraId="10A050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071AE8F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粮食流通</w:t>
      </w:r>
    </w:p>
    <w:p w14:paraId="5A9C3A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黑体" w:hAnsi="黑体" w:eastAsia="黑体" w:cs="黑体"/>
          <w:sz w:val="32"/>
          <w:szCs w:val="32"/>
        </w:rPr>
      </w:pPr>
    </w:p>
    <w:p w14:paraId="18E254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县级以上人民政府应当贯彻执行国家粮食宏观调控政策，加强粮食流通管理，规范粮食流通秩序。</w:t>
      </w:r>
    </w:p>
    <w:p w14:paraId="58E13B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第二十四条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加强对粮食仓储、物流等粮食流通基础设施的建设和保护，组织建设与本行政区域粮食收储规模和保障供应要求相匹配，布局合理、功能齐全的粮食流通基础设施，并引导社会资本投入粮食流通基础设施建设。</w:t>
      </w:r>
    </w:p>
    <w:p w14:paraId="1B635D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任何单位和个人不得侵占、损毁、擅自拆除或者迁移政府投资建设的粮食流通基础设施，不得擅自改变政府投资建设的粮食流通基础设施的用途。</w:t>
      </w:r>
    </w:p>
    <w:p w14:paraId="43CB8D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县级以上人民政府粮食主管部门应当加强粮食收购管理和服务，规范粮食收购活动。</w:t>
      </w:r>
    </w:p>
    <w:p w14:paraId="2E9B78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粮食收购的经营者应当告知售粮者或者在收购场所公示收购粮食的品种、质量标准和价格；执行国家粮食质量标准，按质论价，不得损害农民和其他粮食生产者的利益；及时支付售粮款，不得接受任何单位或者个人的委托代扣、代缴任何税、费和其他款项。</w:t>
      </w:r>
    </w:p>
    <w:p w14:paraId="4F0408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被污染粮食的处置按照国家有关规定执行。</w:t>
      </w:r>
    </w:p>
    <w:p w14:paraId="0D7D06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县级以上人民政府及其有关部门应当为粮食生产经营者开展产销合作提供平台和服务，支持发展粮食产销新模式、新业态，推进粮食产销跨区域合作。</w:t>
      </w:r>
    </w:p>
    <w:p w14:paraId="49F53F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从事粮食收购、储存、加工、销售的经营者以及饲料、工业用粮企业，应当执行有关标准和技术规范，按照规定建立粮食经营台账，并向所在地的县级人民政府粮食主管部门报送粮食购进、储存、销售等基本数据和有关情况。</w:t>
      </w:r>
    </w:p>
    <w:p w14:paraId="2BB81E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粮食经营台账包含粮食经营主体信息、粮食购销交易行为信息、粮食经营资金财务信息、粮食政策执行信息等，保存期限不得少于3年。</w:t>
      </w:r>
    </w:p>
    <w:p w14:paraId="051476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县级以上人民政府粮食主管部门应当做好粮食流通市场调查、信息发布等工作，对粮食收购、储存、销售等流通环节基本数据进行统计和分析。</w:t>
      </w:r>
    </w:p>
    <w:p w14:paraId="046488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粮食供求关系和价格显著变化或者有可能显著变化时，县级以上人民政府及其有关部门可以按照权限依法采取下列措施调控粮食市场，保持粮食市场基本稳定：</w:t>
      </w:r>
    </w:p>
    <w:p w14:paraId="24BB90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（一）发布粮食市场信息；</w:t>
      </w:r>
    </w:p>
    <w:p w14:paraId="7DDD4E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（二）实行政策性粮食收储和销售；</w:t>
      </w:r>
    </w:p>
    <w:p w14:paraId="2728FD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（三）要求执行特定情况下的粮食库存量；</w:t>
      </w:r>
    </w:p>
    <w:p w14:paraId="5B9BCC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（四）组织投放储备粮食；</w:t>
      </w:r>
    </w:p>
    <w:p w14:paraId="44E166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（五）引导粮食加工转化或者限制粮食深加工用粮数量；</w:t>
      </w:r>
    </w:p>
    <w:p w14:paraId="42B18C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（六）其他必要措施。</w:t>
      </w:r>
    </w:p>
    <w:p w14:paraId="33D4BE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必要时，省人民政府可以依照《中华人民共和国价格法》的规定采取相应措施。</w:t>
      </w:r>
    </w:p>
    <w:p w14:paraId="01E37A2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292A495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粮食产业</w:t>
      </w:r>
    </w:p>
    <w:p w14:paraId="399221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eastAsia" w:ascii="黑体" w:hAnsi="黑体" w:eastAsia="黑体" w:cs="黑体"/>
          <w:sz w:val="32"/>
          <w:szCs w:val="32"/>
        </w:rPr>
      </w:pPr>
    </w:p>
    <w:p w14:paraId="3F295A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县级以上人民政府应当立足本地资源优势发展粮食产业，促进粮食就地就近转化，形成与粮食生产、粮食储备和口粮需求相匹配的粮食产业布局。</w:t>
      </w:r>
    </w:p>
    <w:p w14:paraId="16DEB0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鼓励粮食经营者与产业链上下游各类经营主体开展合作，共同攻关技术、开发市场等，实现优势互补、协同发展，提高粮食经营者市场竞争力。</w:t>
      </w:r>
    </w:p>
    <w:p w14:paraId="5671FA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推进粮食初加工、精深加工、综合利用加工有效衔接，统筹饲料用粮、工业用粮等加工产业协调发展；支持粮食加工企业实施技术改造和设备更新，推进数字化、智能化技术运用和改造升级；引导粮食加工企业应用适度加工技术，开展全谷物食品生产，提高成品粮出品率和粮食副产品综合利用率。</w:t>
      </w:r>
    </w:p>
    <w:p w14:paraId="597C7B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第三十一条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县级以上人民政府应当加强粮食领域科技创新能力建设，支持粮食领域基础研究、关键技术研发、工艺改进；促进粮食领域机械制造行业发展，推动装备质量整体提升。</w:t>
      </w:r>
    </w:p>
    <w:p w14:paraId="632C65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鼓励粮食生产经营者与高校、科研院所、企业等合作，组建粮食领域科研平台，加强粮食领域新技术、新工艺、新设备的研究开发和推广应用。</w:t>
      </w:r>
    </w:p>
    <w:p w14:paraId="296F62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第三十二条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及其有关部门应当建立健全粮油品牌培育服务体系，以省域粮油公用品牌建设为引领，强化相关地理标志和区域公用品牌的保护推广，加强粮食领域标准化建设，开展品牌宣传和产品推介，提升粮油品牌的市场影响力与竞争力。</w:t>
      </w:r>
    </w:p>
    <w:p w14:paraId="2E547F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第三十三条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及其有关部门应当加大粮食文化资源的保护和开发利用力度，依法保护具有历史文化价值的粮食建筑、设施、器具、票证等，传承粮食民俗、粮食加工工艺等非物质文化遗产，促进粮食产业与文化、旅游、休闲等产业深度融合。</w:t>
      </w:r>
    </w:p>
    <w:p w14:paraId="2954FD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第三十四条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县级以上人民政府应当落实粮食产业财税、金融、保险、用地、用电等政策，强化要素支持，优化服务保障，引导粮食产业高质量发展。</w:t>
      </w:r>
    </w:p>
    <w:p w14:paraId="1735498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3BF6B74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粮食应急</w:t>
      </w:r>
    </w:p>
    <w:p w14:paraId="25934C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黑体" w:hAnsi="黑体" w:eastAsia="黑体" w:cs="黑体"/>
          <w:sz w:val="32"/>
          <w:szCs w:val="32"/>
        </w:rPr>
      </w:pPr>
    </w:p>
    <w:p w14:paraId="0CE30D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加强粮食应急体系建设，健全布局合理、运转高效协调的粮食应急储存、运输、加工、供应网络，促进各环节协同合作，必要时建立粮食紧急疏运机制，确保具备与应急需求相适应的粮食应急能力，定期开展应急演练和培训，保障粮食应急体系正常运行。</w:t>
      </w:r>
    </w:p>
    <w:p w14:paraId="5B01D3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省人民政府粮食主管部门会同发展改革等部门按照国家要求，建设华中区域粮食应急保障中心，强化粮食应急基地和信息平台、供应链平台建设。</w:t>
      </w:r>
    </w:p>
    <w:p w14:paraId="0EF955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县级以上人民政府粮食主管部门应当会同有关部门制定本行政区域粮食应急预案，报本级人民政府批准，并报上一级人民政府粮食主管部门备案。</w:t>
      </w:r>
    </w:p>
    <w:p w14:paraId="695A0C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第三十七条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县级以上人民政府应当支持应急加工、供应网点建设，确保当地具备与口粮供应相匹配的粮食应急加工、供应能力。</w:t>
      </w:r>
    </w:p>
    <w:p w14:paraId="0E4E96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和支持粮食加工企业进行技术改造，加强小包装粮油生产、配置应急设施设备等应急加工能力建设；支持有条件的政府粮食储备承储企业配套模块化粮食应急加工装备或者小型应急加工设备，提高原粮储备加工转化和粮油产品应急保障能力。</w:t>
      </w:r>
    </w:p>
    <w:p w14:paraId="4E68C0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落实粮食市场异常波动报告制度。发生突发事件，引起粮食市场供求关系和价格异常波动时，县级以上人民政府发展改革、农业农村、粮食、市场监督管理等部门应当及时将粮食市场有关情况向本级人民政府和上一级人民政府主管部门报告。</w:t>
      </w:r>
    </w:p>
    <w:p w14:paraId="7A5882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县级以上人民政府按照权限确认出现粮食应急状态的，应当及时启动应急响应，依法采取应急处置措施。</w:t>
      </w:r>
    </w:p>
    <w:p w14:paraId="4A844D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出现粮食应急状态时，有关单位和个人应当服从县级以上人民政府的统一指挥和调度，配合采取应急处置措施，协助维护粮食市场秩序。</w:t>
      </w:r>
    </w:p>
    <w:p w14:paraId="0174AF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因执行粮食应急处置措施给他人造成损失的，县级以上人民政府应当按照规定予以公平、合理补偿。</w:t>
      </w:r>
    </w:p>
    <w:p w14:paraId="088226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40EB387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监督管理</w:t>
      </w:r>
    </w:p>
    <w:p w14:paraId="4A28DF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eastAsia" w:ascii="仿宋_GB2312" w:hAnsi="仿宋_GB2312" w:eastAsia="仿宋_GB2312" w:cs="仿宋_GB2312"/>
          <w:sz w:val="32"/>
          <w:szCs w:val="32"/>
        </w:rPr>
      </w:pPr>
    </w:p>
    <w:p w14:paraId="11BA95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发展改革、农业农村、粮食、自然资源、水行政、生态环境、市场监督管理、经济和信息化、交通运输等部门应当依照职责对耕地保护、粮食生产、储备、流通、加工、运输、市场秩序、食品安全等实施监督检查，建立健全粮食安全监管协调机制和信息共享机制，加强协作配合。</w:t>
      </w:r>
    </w:p>
    <w:p w14:paraId="2477CF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第四十一条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省人民政府粮食主管部门应当加强信息化监管平台的建设和应用，实现政府粮食储备信息实时采集、处理、传输、共享，确保可查询、可追溯。</w:t>
      </w:r>
    </w:p>
    <w:p w14:paraId="74C96C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粮食主管部门依托信息化监管平台，对政府粮食储备的品种、数量、质量、储存地点、储存安全等情况以及收购、储存、销售、轮换、动用等过程实时监管，及时预警、处置政府粮食储备安全风险。</w:t>
      </w:r>
    </w:p>
    <w:p w14:paraId="076F5A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县级以上人民政府应当定期对本行政区域耕地保护和粮食安全责任落实情况开展监督检查，督促有关主管部门依法履行职责。耕地保护和粮食安全责任制落实情况的考核按照国家有关规定执行。</w:t>
      </w:r>
    </w:p>
    <w:p w14:paraId="391DE3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第四十三条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县级以上人民政府应当依法加强粮食生产、储备、流通、加工等环节的粮食质量安全监督管理工作，建立健全粮食质量安全追溯体系，完善和落实粮食质量安全风险监测和检验制度。</w:t>
      </w:r>
    </w:p>
    <w:p w14:paraId="1D9098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县级以上人民政府发展改革、农业农村、粮食等主管部门应当加强粮食安全信用体系建设，根据日常监督检查结果、违法行为查处情况等，建立粮食生产经营者信用记录。</w:t>
      </w:r>
    </w:p>
    <w:p w14:paraId="1E161D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72ED0A2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法律责任</w:t>
      </w:r>
    </w:p>
    <w:p w14:paraId="205C96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黑体" w:hAnsi="黑体" w:eastAsia="黑体" w:cs="黑体"/>
          <w:sz w:val="32"/>
          <w:szCs w:val="32"/>
        </w:rPr>
      </w:pPr>
    </w:p>
    <w:p w14:paraId="080055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第四十五条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违反本条例，法律、法规有规定的，从其规定。</w:t>
      </w:r>
    </w:p>
    <w:p w14:paraId="57A27B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第四十六条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规定，各级人民政府和县级以上人民政府有关部门不履行粮食安全保障工作职责或者有其他滥用职权、玩忽职守、徇私舞弊行为的，对负有责任的领导人员和直接责任人员依法给予处分；构成犯罪的，依法追究刑事责任。</w:t>
      </w:r>
    </w:p>
    <w:p w14:paraId="18F380B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7D9AD30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附</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则</w:t>
      </w:r>
    </w:p>
    <w:p w14:paraId="09D9F9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黑体" w:hAnsi="黑体" w:eastAsia="黑体" w:cs="黑体"/>
          <w:sz w:val="32"/>
          <w:szCs w:val="32"/>
        </w:rPr>
      </w:pPr>
    </w:p>
    <w:p w14:paraId="392438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本条例所称粮食，是指小麦、稻谷、玉米、大豆、杂粮及其成品粮。杂粮包括谷子、高粱、大麦、荞麦、燕麦、青稞、绿豆、马铃薯、甘薯等。</w:t>
      </w:r>
    </w:p>
    <w:p w14:paraId="1AEBFB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油料、食用植物油的安全保障工作参照适用本条例。</w:t>
      </w:r>
    </w:p>
    <w:p w14:paraId="08A583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第四十八条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本条例自</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日起施行。</w:t>
      </w:r>
    </w:p>
    <w:p w14:paraId="59D404C3"/>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FD58FD"/>
    <w:multiLevelType w:val="singleLevel"/>
    <w:tmpl w:val="13FD58F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8BFAF5"/>
    <w:rsid w:val="47ABDA5A"/>
    <w:rsid w:val="534E75C8"/>
    <w:rsid w:val="6F8BFA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6323</Words>
  <Characters>6323</Characters>
  <Lines>0</Lines>
  <Paragraphs>0</Paragraphs>
  <TotalTime>5.33333333333333</TotalTime>
  <ScaleCrop>false</ScaleCrop>
  <LinksUpToDate>false</LinksUpToDate>
  <CharactersWithSpaces>6471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2026-07-30T15:51:00Z</dcterms:created>
  <dc:creator>lucky</dc:creator>
  <cp:lastModifiedBy>Lllllj</cp:lastModifiedBy>
  <dcterms:modified xsi:type="dcterms:W3CDTF">2026-07-31T03:14:35Z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451E2336B2694B1DBF6929C7EC971D1D_13</vt:lpwstr>
  </property>
</Properties>
</file>