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FD545E5">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sz w:val="44"/>
          <w:szCs w:val="44"/>
        </w:rPr>
      </w:pPr>
      <w:bookmarkStart w:id="0" w:name="_GoBack"/>
      <w:bookmarkEnd w:id="0"/>
    </w:p>
    <w:p w14:paraId="4E8A2170">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关于《湖北省废弃物循环利用及处理条例（草案）》的说明</w:t>
      </w:r>
    </w:p>
    <w:p w14:paraId="20FE69E1">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——2026年7月28日在湖北省十四届人民代表大会</w:t>
      </w:r>
    </w:p>
    <w:p w14:paraId="5660B420">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常务委员会第二十五次会议上</w:t>
      </w:r>
    </w:p>
    <w:p w14:paraId="57E93C92">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center"/>
        <w:textAlignment w:val="auto"/>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湖北省生态环境厅</w:t>
      </w:r>
      <w:r>
        <w:rPr>
          <w:rFonts w:hint="eastAsia" w:ascii="楷体_GB2312" w:hAnsi="楷体_GB2312" w:eastAsia="楷体_GB2312" w:cs="楷体_GB2312"/>
          <w:sz w:val="32"/>
          <w:szCs w:val="32"/>
          <w:lang w:val="en-US" w:eastAsia="zh-CN"/>
        </w:rPr>
        <w:t xml:space="preserve">  </w:t>
      </w:r>
      <w:r>
        <w:rPr>
          <w:rFonts w:hint="eastAsia" w:ascii="楷体_GB2312" w:hAnsi="楷体_GB2312" w:eastAsia="楷体_GB2312" w:cs="楷体_GB2312"/>
          <w:sz w:val="32"/>
          <w:szCs w:val="32"/>
        </w:rPr>
        <w:t>严天文</w:t>
      </w:r>
    </w:p>
    <w:p w14:paraId="649E88C4">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p>
    <w:p w14:paraId="3482C2C9">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主任、各位副主任、秘书长、各位委员：</w:t>
      </w:r>
    </w:p>
    <w:p w14:paraId="2A6F1EC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受省人民政府委托，现对《湖北省废弃物循环利用及处理条例（草案）》（以下简称《条例（草案）》）向省人大常委会作说明。</w:t>
      </w:r>
    </w:p>
    <w:p w14:paraId="2285628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rPr>
        <w:t>一、起草背景</w:t>
      </w:r>
    </w:p>
    <w:p w14:paraId="384BDD2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构建废弃物循环利用体系是实施全面节约战略、保障国家资源安全、加快推动发展方式绿色转型的重要举措。党中央、国务院高度重视废弃物循环利用及处理工作。习近平总书记指出：“垃圾是放错位置的资源，把垃圾资源化，化腐朽为神奇，是一门艺术”，强调要“加强固体废弃物和垃圾处置”。《中华人民共和国生态环境法典》设置“固体废物污染防治”“废弃物循环利用”等章节，国务院印发《关于加快构建废弃物循环利用体系的意见》《固体废物综合治理行动计划》等文件，就固体废物等各类废弃物的循环利用及处理工作作出部署。</w:t>
      </w:r>
    </w:p>
    <w:p w14:paraId="73BB672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按照国家部署，湖北积极推进废弃物循环利用体系建设。2025年一般工业固体废物产生量10524万吨，综合利用率79%；我省磷石膏年利用量达2000万吨位居全国第一，孝感再生铜加工产能占全国15％以上，荆门高新区电子废弃物及贵金属回收产业2025年营收突破300亿元；依托长江生态环境交易平台开展固体废物资源化交易，上半年成交额已突破1亿元；有序推动全域“无废城市”建设，实施“无废细胞”工程，将武汉市等4地纳入国家“无废城市”建设名单。加快制定出台条例，对于强化废弃物循环利用法治保障、践行绿色低碳生产生活方式、建设省域美丽中国先行区具有重要意义。</w:t>
      </w:r>
    </w:p>
    <w:p w14:paraId="4CC7D2A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rPr>
        <w:t>二、基本思路和立法过程</w:t>
      </w:r>
    </w:p>
    <w:p w14:paraId="388944D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基本思路：</w:t>
      </w:r>
      <w:r>
        <w:rPr>
          <w:rFonts w:hint="eastAsia" w:ascii="仿宋_GB2312" w:hAnsi="仿宋_GB2312" w:eastAsia="仿宋_GB2312" w:cs="仿宋_GB2312"/>
          <w:b/>
          <w:bCs/>
          <w:sz w:val="32"/>
          <w:szCs w:val="32"/>
        </w:rPr>
        <w:t>一是坚持法治统一和制度统筹。</w:t>
      </w:r>
      <w:r>
        <w:rPr>
          <w:rFonts w:hint="eastAsia" w:ascii="仿宋_GB2312" w:hAnsi="仿宋_GB2312" w:eastAsia="仿宋_GB2312" w:cs="仿宋_GB2312"/>
          <w:sz w:val="32"/>
          <w:szCs w:val="32"/>
        </w:rPr>
        <w:t>在全面落实《中华人民共和国生态环境法典》立法精神，细化工业废弃物、农业废弃物、建筑垃圾、生活垃圾等回收利用处理要求基础上，统筹本省法规规章，将《湖北省资源综合利用条例》《湖北省磷石膏污染防治条例》《湖北省餐厨垃圾管理办法》中涉废弃物的制度设计纳入草案，推动形成废弃物综合治理的制度合力。</w:t>
      </w:r>
      <w:r>
        <w:rPr>
          <w:rFonts w:hint="eastAsia" w:ascii="仿宋_GB2312" w:hAnsi="仿宋_GB2312" w:eastAsia="仿宋_GB2312" w:cs="仿宋_GB2312"/>
          <w:b/>
          <w:bCs/>
          <w:sz w:val="32"/>
          <w:szCs w:val="32"/>
        </w:rPr>
        <w:t>二是坚持战略引领和重点突破。</w:t>
      </w:r>
      <w:r>
        <w:rPr>
          <w:rFonts w:hint="eastAsia" w:ascii="仿宋_GB2312" w:hAnsi="仿宋_GB2312" w:eastAsia="仿宋_GB2312" w:cs="仿宋_GB2312"/>
          <w:sz w:val="32"/>
          <w:szCs w:val="32"/>
        </w:rPr>
        <w:t>面对资源趋紧、环境约束加剧的现实挑战，紧密衔接国家《循环经济发展“十五五”规划》，立足湖北产业特点和资源禀赋，将废弃物循环利用作为破解资源环境瓶颈、推动绿色转型的关键举措，构建覆盖全品类、全链条的循环利用体系，为长江经济带高质量发展提供有力支撑。</w:t>
      </w:r>
      <w:r>
        <w:rPr>
          <w:rFonts w:hint="eastAsia" w:ascii="仿宋_GB2312" w:hAnsi="仿宋_GB2312" w:eastAsia="仿宋_GB2312" w:cs="仿宋_GB2312"/>
          <w:b/>
          <w:bCs/>
          <w:sz w:val="32"/>
          <w:szCs w:val="32"/>
        </w:rPr>
        <w:t>三是坚持问题导向和改革创新。</w:t>
      </w:r>
      <w:r>
        <w:rPr>
          <w:rFonts w:hint="eastAsia" w:ascii="仿宋_GB2312" w:hAnsi="仿宋_GB2312" w:eastAsia="仿宋_GB2312" w:cs="仿宋_GB2312"/>
          <w:sz w:val="32"/>
          <w:szCs w:val="32"/>
        </w:rPr>
        <w:t>针对固体废物管理体制机制不顺、回收体系不健全、利用途径不顺畅等突出问题，在推进大宗固体废物减量化、资源化、无害化基础上，抢抓城市更新建筑垃圾治理、家电以旧换新、“新三样”大规模退役、再制造产业与再生资源高效利用等新兴领域发展机遇，作出前瞻性规定，有效填补制度空白。</w:t>
      </w:r>
    </w:p>
    <w:p w14:paraId="01A320E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立法过程：今年3月以来，省生态环境厅、省司法厅组建工作专班，开展立法调研，征求各方意见，进行论证评估。立法审查期间，省司法厅书面征求省直有关部门、17个市州政府以及相关企业、行业协会的意见，公开征求社会公众意见；赴宜昌市、荆门市实地调研废弃物回收利用等情况，听取相关单位、企业意见建议；组织省直部门召开立法座谈会；组织专家深入评估论证。在充分梳理吸收各方意见基础上，反复研究、修改完善，并按程序完成宏观政策取向一致性评估、公平竞争审查、制度廉洁性评估，形成《条例（草案）》。6月23日，省政府组织进行了专题研究。6月29日，省政府常务会议审议通过了《条例（草案）》。会后根据研究意见对《条例（草案）》进行了修改完善。</w:t>
      </w:r>
    </w:p>
    <w:p w14:paraId="1327C3E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rPr>
        <w:t>三、主要内容</w:t>
      </w:r>
    </w:p>
    <w:p w14:paraId="468FB7F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《条例（草案）》共7章42条，依次为总则、网点建设、回收经营、利用处理、保障监督、法律责任、附则。</w:t>
      </w:r>
    </w:p>
    <w:p w14:paraId="7DFB511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（一）关于管理体制。</w:t>
      </w:r>
      <w:r>
        <w:rPr>
          <w:rFonts w:hint="eastAsia" w:ascii="仿宋_GB2312" w:hAnsi="仿宋_GB2312" w:eastAsia="仿宋_GB2312" w:cs="仿宋_GB2312"/>
          <w:b/>
          <w:bCs/>
          <w:sz w:val="32"/>
          <w:szCs w:val="32"/>
        </w:rPr>
        <w:t>一是</w:t>
      </w:r>
      <w:r>
        <w:rPr>
          <w:rFonts w:hint="eastAsia" w:ascii="仿宋_GB2312" w:hAnsi="仿宋_GB2312" w:eastAsia="仿宋_GB2312" w:cs="仿宋_GB2312"/>
          <w:sz w:val="32"/>
          <w:szCs w:val="32"/>
        </w:rPr>
        <w:t>规定县级以上政府加强对废弃物循环利用及处理工作的领导，将相关工作纳入国民经济和社会发展规划，强化宣传教育。</w:t>
      </w:r>
      <w:r>
        <w:rPr>
          <w:rFonts w:hint="eastAsia" w:ascii="仿宋_GB2312" w:hAnsi="仿宋_GB2312" w:eastAsia="仿宋_GB2312" w:cs="仿宋_GB2312"/>
          <w:b/>
          <w:bCs/>
          <w:sz w:val="32"/>
          <w:szCs w:val="32"/>
        </w:rPr>
        <w:t>二是</w:t>
      </w:r>
      <w:r>
        <w:rPr>
          <w:rFonts w:hint="eastAsia" w:ascii="仿宋_GB2312" w:hAnsi="仿宋_GB2312" w:eastAsia="仿宋_GB2312" w:cs="仿宋_GB2312"/>
          <w:sz w:val="32"/>
          <w:szCs w:val="32"/>
        </w:rPr>
        <w:t>明确了发展改革、生态环境、经济和信息化、农业农村、住房城乡建设、商务等部门的具体职责。</w:t>
      </w:r>
      <w:r>
        <w:rPr>
          <w:rFonts w:hint="eastAsia" w:ascii="仿宋_GB2312" w:hAnsi="仿宋_GB2312" w:eastAsia="仿宋_GB2312" w:cs="仿宋_GB2312"/>
          <w:b/>
          <w:bCs/>
          <w:sz w:val="32"/>
          <w:szCs w:val="32"/>
        </w:rPr>
        <w:t>三是</w:t>
      </w:r>
      <w:r>
        <w:rPr>
          <w:rFonts w:hint="eastAsia" w:ascii="仿宋_GB2312" w:hAnsi="仿宋_GB2312" w:eastAsia="仿宋_GB2312" w:cs="仿宋_GB2312"/>
          <w:sz w:val="32"/>
          <w:szCs w:val="32"/>
        </w:rPr>
        <w:t>规定其他有关部门和单位按照职责做好相关工作。</w:t>
      </w:r>
    </w:p>
    <w:p w14:paraId="711981C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（二）关于废弃物回收经营。</w:t>
      </w:r>
      <w:r>
        <w:rPr>
          <w:rFonts w:hint="eastAsia" w:ascii="仿宋_GB2312" w:hAnsi="仿宋_GB2312" w:eastAsia="仿宋_GB2312" w:cs="仿宋_GB2312"/>
          <w:b/>
          <w:bCs/>
          <w:sz w:val="32"/>
          <w:szCs w:val="32"/>
        </w:rPr>
        <w:t>一是</w:t>
      </w:r>
      <w:r>
        <w:rPr>
          <w:rFonts w:hint="eastAsia" w:ascii="仿宋_GB2312" w:hAnsi="仿宋_GB2312" w:eastAsia="仿宋_GB2312" w:cs="仿宋_GB2312"/>
          <w:sz w:val="32"/>
          <w:szCs w:val="32"/>
        </w:rPr>
        <w:t>规定废弃物回收经营场所应遵循便民、维护环境卫生等要求，废弃物回收经营者可以采取上门、网络预约、设置交投点等方式开展回收业务。</w:t>
      </w:r>
      <w:r>
        <w:rPr>
          <w:rFonts w:hint="eastAsia" w:ascii="仿宋_GB2312" w:hAnsi="仿宋_GB2312" w:eastAsia="仿宋_GB2312" w:cs="仿宋_GB2312"/>
          <w:b/>
          <w:bCs/>
          <w:sz w:val="32"/>
          <w:szCs w:val="32"/>
        </w:rPr>
        <w:t>二是</w:t>
      </w:r>
      <w:r>
        <w:rPr>
          <w:rFonts w:hint="eastAsia" w:ascii="仿宋_GB2312" w:hAnsi="仿宋_GB2312" w:eastAsia="仿宋_GB2312" w:cs="仿宋_GB2312"/>
          <w:sz w:val="32"/>
          <w:szCs w:val="32"/>
        </w:rPr>
        <w:t>根据上位法和国家政策，规定了各类废弃物的回收方式，包括：企业对生产过程中产生的工业废弃物进行回收，建立健全农业废弃物回收体系，实行建筑垃圾全过程联单管理制度，推行生活垃圾分类制度。</w:t>
      </w:r>
      <w:r>
        <w:rPr>
          <w:rFonts w:hint="eastAsia" w:ascii="仿宋_GB2312" w:hAnsi="仿宋_GB2312" w:eastAsia="仿宋_GB2312" w:cs="仿宋_GB2312"/>
          <w:b/>
          <w:bCs/>
          <w:sz w:val="32"/>
          <w:szCs w:val="32"/>
        </w:rPr>
        <w:t>三是</w:t>
      </w:r>
      <w:r>
        <w:rPr>
          <w:rFonts w:hint="eastAsia" w:ascii="仿宋_GB2312" w:hAnsi="仿宋_GB2312" w:eastAsia="仿宋_GB2312" w:cs="仿宋_GB2312"/>
          <w:sz w:val="32"/>
          <w:szCs w:val="32"/>
        </w:rPr>
        <w:t>根据上位法，规定生产、进口、销售列入强制回收名录的产品和包装物的企业，按照国家规定对相关产品和包装物进行回收；电器电子等产品的生产企业按照国家规定建立与产品销售量相匹配的废旧产品回收体系。</w:t>
      </w:r>
      <w:r>
        <w:rPr>
          <w:rFonts w:hint="eastAsia" w:ascii="仿宋_GB2312" w:hAnsi="仿宋_GB2312" w:eastAsia="仿宋_GB2312" w:cs="仿宋_GB2312"/>
          <w:b/>
          <w:bCs/>
          <w:sz w:val="32"/>
          <w:szCs w:val="32"/>
        </w:rPr>
        <w:t>四是</w:t>
      </w:r>
      <w:r>
        <w:rPr>
          <w:rFonts w:hint="eastAsia" w:ascii="仿宋_GB2312" w:hAnsi="仿宋_GB2312" w:eastAsia="仿宋_GB2312" w:cs="仿宋_GB2312"/>
          <w:sz w:val="32"/>
          <w:szCs w:val="32"/>
        </w:rPr>
        <w:t>规定鼓励依托生态环境权益交易平台开展固体废物交易，交流相关信息，支持建立产业废弃物交换信息系统，构建废弃物回收业务信息平台和回收追溯系统。</w:t>
      </w:r>
    </w:p>
    <w:p w14:paraId="41F4185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（三）关于废弃物利用处理。</w:t>
      </w:r>
      <w:r>
        <w:rPr>
          <w:rFonts w:hint="eastAsia" w:ascii="仿宋_GB2312" w:hAnsi="仿宋_GB2312" w:eastAsia="仿宋_GB2312" w:cs="仿宋_GB2312"/>
          <w:b/>
          <w:bCs/>
          <w:sz w:val="32"/>
          <w:szCs w:val="32"/>
        </w:rPr>
        <w:t>一是</w:t>
      </w:r>
      <w:r>
        <w:rPr>
          <w:rFonts w:hint="eastAsia" w:ascii="仿宋_GB2312" w:hAnsi="仿宋_GB2312" w:eastAsia="仿宋_GB2312" w:cs="仿宋_GB2312"/>
          <w:sz w:val="32"/>
          <w:szCs w:val="32"/>
        </w:rPr>
        <w:t>根据上位法和国家政策，规定了各类废弃物的利用或处理方式，包括：企业按照规定对工业废弃物进行综合利用，加强农业废弃物资源化利用和废农用薄膜分类处置，推动建筑垃圾综合利用产品应用，对生活垃圾进行资源化、无害化处理；同时，总结“无废城市”建设经验，规定支持大宗固体废弃物综合利用。</w:t>
      </w:r>
      <w:r>
        <w:rPr>
          <w:rFonts w:hint="eastAsia" w:ascii="仿宋_GB2312" w:hAnsi="仿宋_GB2312" w:eastAsia="仿宋_GB2312" w:cs="仿宋_GB2312"/>
          <w:b/>
          <w:bCs/>
          <w:sz w:val="32"/>
          <w:szCs w:val="32"/>
        </w:rPr>
        <w:t>二是</w:t>
      </w:r>
      <w:r>
        <w:rPr>
          <w:rFonts w:hint="eastAsia" w:ascii="仿宋_GB2312" w:hAnsi="仿宋_GB2312" w:eastAsia="仿宋_GB2312" w:cs="仿宋_GB2312"/>
          <w:sz w:val="32"/>
          <w:szCs w:val="32"/>
        </w:rPr>
        <w:t>根据上位法，规定了相关产业、行业废弃物的利用或处理方式，规定从事风电、光伏发电建设运营的企业应当对退役风电机组叶片、光伏组件等进行循环利用或无害化处置，支持开展机动车零部件、工程机械、机床等产品的再制造，加强再生资源高效利用。</w:t>
      </w:r>
      <w:r>
        <w:rPr>
          <w:rFonts w:hint="eastAsia" w:ascii="仿宋_GB2312" w:hAnsi="仿宋_GB2312" w:eastAsia="仿宋_GB2312" w:cs="仿宋_GB2312"/>
          <w:b/>
          <w:bCs/>
          <w:sz w:val="32"/>
          <w:szCs w:val="32"/>
        </w:rPr>
        <w:t>三是</w:t>
      </w:r>
      <w:r>
        <w:rPr>
          <w:rFonts w:hint="eastAsia" w:ascii="仿宋_GB2312" w:hAnsi="仿宋_GB2312" w:eastAsia="仿宋_GB2312" w:cs="仿宋_GB2312"/>
          <w:sz w:val="32"/>
          <w:szCs w:val="32"/>
        </w:rPr>
        <w:t>规定产生危险废物的单位应当按照国家规定和标准贮存、利用、处置危险废物，从生活垃圾中分类收集的有害垃圾属于危险废物的，按照危险废物管理。四是规定推动二手商品交易市场和平台建设，支持二手商品交易市场探索发展“互联网＋二手商品”等业态。</w:t>
      </w:r>
    </w:p>
    <w:p w14:paraId="14CAEB0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（四）关于建设、保障与监督。</w:t>
      </w:r>
      <w:r>
        <w:rPr>
          <w:rFonts w:hint="eastAsia" w:ascii="仿宋_GB2312" w:hAnsi="仿宋_GB2312" w:eastAsia="仿宋_GB2312" w:cs="仿宋_GB2312"/>
          <w:b/>
          <w:bCs/>
          <w:sz w:val="32"/>
          <w:szCs w:val="32"/>
        </w:rPr>
        <w:t>一是</w:t>
      </w:r>
      <w:r>
        <w:rPr>
          <w:rFonts w:hint="eastAsia" w:ascii="仿宋_GB2312" w:hAnsi="仿宋_GB2312" w:eastAsia="仿宋_GB2312" w:cs="仿宋_GB2312"/>
          <w:sz w:val="32"/>
          <w:szCs w:val="32"/>
        </w:rPr>
        <w:t>强化布局建设，根据上位法和国家政策，结合我省实际，对网点建设方案、网点融合建设、回收设施建设、分拣中心建设等作出规定。</w:t>
      </w:r>
      <w:r>
        <w:rPr>
          <w:rFonts w:hint="eastAsia" w:ascii="仿宋_GB2312" w:hAnsi="仿宋_GB2312" w:eastAsia="仿宋_GB2312" w:cs="仿宋_GB2312"/>
          <w:b/>
          <w:bCs/>
          <w:sz w:val="32"/>
          <w:szCs w:val="32"/>
        </w:rPr>
        <w:t>二是</w:t>
      </w:r>
      <w:r>
        <w:rPr>
          <w:rFonts w:hint="eastAsia" w:ascii="仿宋_GB2312" w:hAnsi="仿宋_GB2312" w:eastAsia="仿宋_GB2312" w:cs="仿宋_GB2312"/>
          <w:sz w:val="32"/>
          <w:szCs w:val="32"/>
        </w:rPr>
        <w:t>强化要素保障，规定了资金、金融、用地、科技等方面的支持措施。</w:t>
      </w:r>
      <w:r>
        <w:rPr>
          <w:rFonts w:hint="eastAsia" w:ascii="仿宋_GB2312" w:hAnsi="仿宋_GB2312" w:eastAsia="仿宋_GB2312" w:cs="仿宋_GB2312"/>
          <w:b/>
          <w:bCs/>
          <w:sz w:val="32"/>
          <w:szCs w:val="32"/>
        </w:rPr>
        <w:t>三是</w:t>
      </w:r>
      <w:r>
        <w:rPr>
          <w:rFonts w:hint="eastAsia" w:ascii="仿宋_GB2312" w:hAnsi="仿宋_GB2312" w:eastAsia="仿宋_GB2312" w:cs="仿宋_GB2312"/>
          <w:sz w:val="32"/>
          <w:szCs w:val="32"/>
        </w:rPr>
        <w:t>强化产业支持，规定培育废弃物回收、二手商品交易、分拣利用、再制造等领域的企业，壮大废弃物循环利用产业链，推进生态工业园区建设。四是规定建立投诉举报机制。</w:t>
      </w:r>
    </w:p>
    <w:p w14:paraId="1D9241E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以上说明并《条例（草案）》，请予审议。</w:t>
      </w:r>
    </w:p>
    <w:sectPr>
      <w:footerReference r:id="rId3" w:type="default"/>
      <w:pgSz w:w="11906" w:h="16838"/>
      <w:pgMar w:top="1440" w:right="1800" w:bottom="1440" w:left="1800" w:header="851" w:footer="992" w:gutter="0"/>
      <w:pgNumType w:fmt="numberInDash"/>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altName w:val="方正舒体"/>
    <w:panose1 w:val="02000000000000000000"/>
    <w:charset w:val="86"/>
    <w:family w:val="auto"/>
    <w:pitch w:val="default"/>
    <w:sig w:usb0="A00002BF" w:usb1="184F6CFA" w:usb2="00000012" w:usb3="00000000" w:csb0="00040001" w:csb1="00000000"/>
  </w:font>
  <w:font w:name="楷体_GB2312">
    <w:altName w:val="楷体"/>
    <w:panose1 w:val="02010609030101010101"/>
    <w:charset w:val="86"/>
    <w:family w:val="auto"/>
    <w:pitch w:val="default"/>
    <w:sig w:usb0="00000001" w:usb1="080E0000" w:usb2="00000000" w:usb3="00000000" w:csb0="00040000" w:csb1="00000000"/>
  </w:font>
  <w:font w:name="仿宋_GB2312">
    <w:altName w:val="仿宋"/>
    <w:panose1 w:val="02010609030101010101"/>
    <w:charset w:val="86"/>
    <w:family w:val="auto"/>
    <w:pitch w:val="default"/>
    <w:sig w:usb0="00000001" w:usb1="080E0000" w:usb2="00000000" w:usb3="00000000" w:csb0="00040000" w:csb1="00000000"/>
  </w:font>
  <w:font w:name="方正舒体">
    <w:panose1 w:val="02010601030101010101"/>
    <w:charset w:val="86"/>
    <w:family w:val="auto"/>
    <w:pitch w:val="default"/>
    <w:sig w:usb0="00000003"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KSOFF9CBECC6">
    <w:panose1 w:val="02010609060101010101"/>
    <w:charset w:val="86"/>
    <w:family w:val="auto"/>
    <w:pitch w:val="default"/>
    <w:sig w:usb0="00000001" w:usb1="00000000" w:usb2="00000000" w:usb3="00000000" w:csb0="00040001" w:csb1="00000000"/>
  </w:font>
  <w:font w:name="仿宋">
    <w:panose1 w:val="02010609060101010101"/>
    <w:charset w:val="86"/>
    <w:family w:val="auto"/>
    <w:pitch w:val="default"/>
    <w:sig w:usb0="800002BF" w:usb1="38CF7CFA" w:usb2="00000016" w:usb3="00000000" w:csb0="00040001" w:csb1="00000000"/>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417292">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486DD156">
                          <w:pPr>
                            <w:pStyle w:val="2"/>
                          </w:pPr>
                          <w:r>
                            <w:fldChar w:fldCharType="begin"/>
                          </w:r>
                          <w:r>
                            <w:instrText xml:space="preserve"> PAGE  \* MERGEFORMAT </w:instrText>
                          </w:r>
                          <w:r>
                            <w:fldChar w:fldCharType="separate"/>
                          </w:r>
                          <w:r>
                            <w:t>1</w:t>
                          </w:r>
                          <w:r>
                            <w:fldChar w:fldCharType="end"/>
                          </w:r>
                        </w:p>
                      </w:txbxContent>
                    </wps:txbx>
                    <wps:bodyPr vert="horz" wrap="none" lIns="0" tIns="0" rIns="0" bIns="0" anchor="t" anchorCtr="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zql5uc8AAAAFAQAADwAAAAAAAAABACAA&#10;AAAiAAAAZHJzL2Rvd25yZXYueG1sUEsBAhQAFAAAAAgAh07iQG15XmjdAQAAvgMAAA4AAAAAAAAA&#10;AQAgAAAAHgEAAGRycy9lMm9Eb2MueG1sUEsFBgAAAAAGAAYAWQEAAG0FAAAAAA==&#10;">
              <v:fill on="f" focussize="0,0"/>
              <v:stroke on="f"/>
              <v:imagedata o:title=""/>
              <o:lock v:ext="edit" aspectratio="f"/>
              <v:textbox inset="0mm,0mm,0mm,0mm" style="mso-fit-shape-to-text:t;">
                <w:txbxContent>
                  <w:p w14:paraId="486DD156">
                    <w:pPr>
                      <w:pStyle w:val="2"/>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documentProtection w:enforcement="0"/>
  <w:defaultTabStop w:val="420"/>
  <w:hyphenationZone w:val="360"/>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3E2503E2"/>
    <w:rsid w:val="67FFEBFC"/>
    <w:rsid w:val="DDFB0F86"/>
    <w:rsid w:val="FBFFFC3E"/>
    <w:rsid w:val="FFF9D929"/>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Style w:val="4"/>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rPr>
  </w:style>
  <w:style w:type="paragraph" w:styleId="3">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Pages>
  <Words>2521</Words>
  <Characters>2547</Characters>
  <Lines>0</Lines>
  <Paragraphs>0</Paragraphs>
  <TotalTime>2.66666666666667</TotalTime>
  <ScaleCrop>false</ScaleCrop>
  <LinksUpToDate>false</LinksUpToDate>
  <CharactersWithSpaces>2549</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2026-07-30T15:04:57Z</dcterms:created>
  <dc:creator>greatwall</dc:creator>
  <cp:lastModifiedBy>Lllllj</cp:lastModifiedBy>
  <dcterms:modified xsi:type="dcterms:W3CDTF">2026-07-31T03:19:06Z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A40B8019D7DA42C0AFA3BBDE9E1FA497_13</vt:lpwstr>
  </property>
</Properties>
</file>